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368" w:rsidRPr="003C5F1E" w:rsidRDefault="00D04E5A" w:rsidP="00DB44FC">
      <w:pPr>
        <w:pStyle w:val="CorpsA"/>
        <w:suppressAutoHyphens/>
        <w:spacing w:before="100" w:after="100"/>
        <w:jc w:val="both"/>
        <w:rPr>
          <w:rFonts w:ascii="Times" w:eastAsia="Times New Roman" w:hAnsi="Times" w:cs="Times New Roman"/>
          <w:b/>
          <w:bCs/>
        </w:rPr>
      </w:pPr>
      <w:r w:rsidRPr="003C5F1E">
        <w:rPr>
          <w:rFonts w:ascii="Times New Roman"/>
          <w:b/>
          <w:bCs/>
          <w:color w:val="808080"/>
          <w:sz w:val="22"/>
          <w:szCs w:val="22"/>
          <w:u w:color="808080"/>
        </w:rPr>
        <w:t>Communiqu</w:t>
      </w:r>
      <w:r w:rsidRPr="003C5F1E">
        <w:rPr>
          <w:rFonts w:hAnsi="Times New Roman"/>
          <w:b/>
          <w:bCs/>
          <w:color w:val="808080"/>
          <w:sz w:val="22"/>
          <w:szCs w:val="22"/>
          <w:u w:color="808080"/>
        </w:rPr>
        <w:t>é</w:t>
      </w:r>
      <w:r w:rsidRPr="003C5F1E">
        <w:rPr>
          <w:b/>
          <w:bCs/>
          <w:color w:val="808080"/>
          <w:sz w:val="22"/>
          <w:szCs w:val="22"/>
          <w:u w:color="808080"/>
        </w:rPr>
        <w:t xml:space="preserve"> </w:t>
      </w:r>
      <w:r w:rsidRPr="003C5F1E">
        <w:rPr>
          <w:rFonts w:ascii="Times New Roman"/>
          <w:b/>
          <w:bCs/>
          <w:color w:val="808080"/>
          <w:sz w:val="22"/>
          <w:szCs w:val="22"/>
          <w:u w:color="808080"/>
        </w:rPr>
        <w:t>de presse</w:t>
      </w:r>
    </w:p>
    <w:p w:rsidR="00D06368" w:rsidRPr="003C5F1E" w:rsidRDefault="00D04E5A" w:rsidP="00D04E5A">
      <w:pPr>
        <w:pStyle w:val="En-tte"/>
        <w:tabs>
          <w:tab w:val="clear" w:pos="9072"/>
          <w:tab w:val="left" w:pos="731"/>
          <w:tab w:val="right" w:pos="9046"/>
        </w:tabs>
        <w:rPr>
          <w:b/>
          <w:bCs/>
          <w:color w:val="808080"/>
          <w:sz w:val="22"/>
          <w:szCs w:val="22"/>
          <w:u w:color="808080"/>
        </w:rPr>
      </w:pPr>
      <w:r w:rsidRPr="003C5F1E">
        <w:rPr>
          <w:noProof/>
        </w:rPr>
        <w:drawing>
          <wp:anchor distT="152400" distB="152400" distL="152400" distR="152400" simplePos="0" relativeHeight="251659264" behindDoc="1" locked="0" layoutInCell="1" allowOverlap="1" wp14:anchorId="7D18CDF7" wp14:editId="3BA28431">
            <wp:simplePos x="0" y="0"/>
            <wp:positionH relativeFrom="page">
              <wp:posOffset>3114039</wp:posOffset>
            </wp:positionH>
            <wp:positionV relativeFrom="page">
              <wp:posOffset>175893</wp:posOffset>
            </wp:positionV>
            <wp:extent cx="1136015" cy="1176656"/>
            <wp:effectExtent l="0" t="0" r="0" b="0"/>
            <wp:wrapNone/>
            <wp:docPr id="1073741825" name="officeArt object" descr="C:\Users\MPEN\Desktop\ministere_postes_economie_numeri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C:\Users\MPEN\Desktop\ministere_postes_economie_numeriqu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176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C5F1E">
        <w:rPr>
          <w:rFonts w:ascii="Times New Roman"/>
          <w:b/>
          <w:bCs/>
          <w:color w:val="808080"/>
          <w:sz w:val="22"/>
          <w:szCs w:val="22"/>
          <w:u w:color="808080"/>
        </w:rPr>
        <w:tab/>
      </w:r>
    </w:p>
    <w:p w:rsidR="003C5F1E" w:rsidRPr="003C5F1E" w:rsidRDefault="003C5F1E" w:rsidP="003C5F1E">
      <w:pPr>
        <w:jc w:val="both"/>
        <w:rPr>
          <w:lang w:val="fr-FR"/>
        </w:rPr>
      </w:pPr>
    </w:p>
    <w:p w:rsidR="00435F16" w:rsidRPr="00435F16" w:rsidRDefault="00B563BB" w:rsidP="00435F16">
      <w:pPr>
        <w:jc w:val="center"/>
        <w:rPr>
          <w:rFonts w:ascii="Cambria" w:hAnsi="Cambria"/>
          <w:b/>
          <w:sz w:val="32"/>
          <w:szCs w:val="32"/>
          <w:lang w:val="fr-FR"/>
        </w:rPr>
      </w:pPr>
      <w:r>
        <w:rPr>
          <w:rFonts w:ascii="Cambria" w:hAnsi="Cambria"/>
          <w:b/>
          <w:sz w:val="32"/>
          <w:szCs w:val="32"/>
          <w:lang w:val="fr-FR"/>
        </w:rPr>
        <w:t>L’</w:t>
      </w:r>
      <w:r w:rsidR="00E9574B">
        <w:rPr>
          <w:rFonts w:ascii="Cambria" w:hAnsi="Cambria"/>
          <w:b/>
          <w:sz w:val="32"/>
          <w:szCs w:val="32"/>
          <w:lang w:val="fr-FR"/>
        </w:rPr>
        <w:t>A</w:t>
      </w:r>
      <w:r>
        <w:rPr>
          <w:rFonts w:ascii="Cambria" w:hAnsi="Cambria"/>
          <w:b/>
          <w:sz w:val="32"/>
          <w:szCs w:val="32"/>
          <w:lang w:val="fr-FR"/>
        </w:rPr>
        <w:t>ssemblée national</w:t>
      </w:r>
      <w:r w:rsidR="00055625">
        <w:rPr>
          <w:rFonts w:ascii="Cambria" w:hAnsi="Cambria"/>
          <w:b/>
          <w:sz w:val="32"/>
          <w:szCs w:val="32"/>
          <w:lang w:val="fr-FR"/>
        </w:rPr>
        <w:t>e</w:t>
      </w:r>
      <w:r>
        <w:rPr>
          <w:rFonts w:ascii="Cambria" w:hAnsi="Cambria"/>
          <w:b/>
          <w:sz w:val="32"/>
          <w:szCs w:val="32"/>
          <w:lang w:val="fr-FR"/>
        </w:rPr>
        <w:t xml:space="preserve"> </w:t>
      </w:r>
      <w:r w:rsidR="00951FB9">
        <w:rPr>
          <w:rFonts w:ascii="Cambria" w:hAnsi="Cambria"/>
          <w:b/>
          <w:sz w:val="32"/>
          <w:szCs w:val="32"/>
          <w:lang w:val="fr-FR"/>
        </w:rPr>
        <w:t>adopte le projet de loi relatif à l’ouverture du capital de</w:t>
      </w:r>
      <w:r w:rsidR="0030074E">
        <w:rPr>
          <w:rFonts w:ascii="Cambria" w:hAnsi="Cambria"/>
          <w:b/>
          <w:sz w:val="32"/>
          <w:szCs w:val="32"/>
          <w:lang w:val="fr-FR"/>
        </w:rPr>
        <w:t xml:space="preserve"> </w:t>
      </w:r>
      <w:r w:rsidR="00951FB9">
        <w:rPr>
          <w:rFonts w:ascii="Cambria" w:hAnsi="Cambria"/>
          <w:b/>
          <w:sz w:val="32"/>
          <w:szCs w:val="32"/>
          <w:lang w:val="fr-FR"/>
        </w:rPr>
        <w:t>TOGOCOM</w:t>
      </w:r>
    </w:p>
    <w:p w:rsidR="00435F16" w:rsidRPr="00435F16" w:rsidRDefault="00435F16" w:rsidP="00435F16">
      <w:pPr>
        <w:jc w:val="both"/>
        <w:rPr>
          <w:rFonts w:ascii="Times" w:hAnsi="Times"/>
          <w:lang w:val="fr-FR"/>
        </w:rPr>
      </w:pPr>
    </w:p>
    <w:p w:rsidR="009372DB" w:rsidRDefault="00435F16" w:rsidP="00793902">
      <w:pPr>
        <w:jc w:val="both"/>
        <w:rPr>
          <w:rFonts w:ascii="Times" w:hAnsi="Times"/>
          <w:lang w:val="fr-FR"/>
        </w:rPr>
      </w:pPr>
      <w:r w:rsidRPr="00435F16">
        <w:rPr>
          <w:rFonts w:ascii="Times" w:hAnsi="Times"/>
          <w:b/>
          <w:lang w:val="fr-FR"/>
        </w:rPr>
        <w:t xml:space="preserve">Lomé, le </w:t>
      </w:r>
      <w:r w:rsidR="00055625">
        <w:rPr>
          <w:rFonts w:ascii="Times" w:hAnsi="Times"/>
          <w:b/>
          <w:lang w:val="fr-FR"/>
        </w:rPr>
        <w:t>15</w:t>
      </w:r>
      <w:r w:rsidR="00793902">
        <w:rPr>
          <w:rFonts w:ascii="Times" w:hAnsi="Times"/>
          <w:b/>
          <w:lang w:val="fr-FR"/>
        </w:rPr>
        <w:t xml:space="preserve"> </w:t>
      </w:r>
      <w:r w:rsidR="00055625">
        <w:rPr>
          <w:rFonts w:ascii="Times" w:hAnsi="Times"/>
          <w:b/>
          <w:lang w:val="fr-FR"/>
        </w:rPr>
        <w:t>novembre</w:t>
      </w:r>
      <w:r w:rsidRPr="00435F16">
        <w:rPr>
          <w:rFonts w:ascii="Times" w:hAnsi="Times"/>
          <w:b/>
          <w:lang w:val="fr-FR"/>
        </w:rPr>
        <w:t xml:space="preserve"> 2018 </w:t>
      </w:r>
      <w:r w:rsidR="00793902">
        <w:rPr>
          <w:rFonts w:ascii="Times" w:hAnsi="Times"/>
          <w:b/>
          <w:lang w:val="fr-FR"/>
        </w:rPr>
        <w:t>–</w:t>
      </w:r>
      <w:r>
        <w:rPr>
          <w:rFonts w:ascii="Times" w:hAnsi="Times"/>
          <w:lang w:val="fr-FR"/>
        </w:rPr>
        <w:t xml:space="preserve"> </w:t>
      </w:r>
      <w:r w:rsidR="004A0F69">
        <w:rPr>
          <w:rFonts w:ascii="Times" w:hAnsi="Times"/>
          <w:lang w:val="fr-FR"/>
        </w:rPr>
        <w:t xml:space="preserve"> </w:t>
      </w:r>
      <w:r w:rsidR="009372DB">
        <w:rPr>
          <w:rFonts w:ascii="Times" w:hAnsi="Times"/>
          <w:lang w:val="fr-FR"/>
        </w:rPr>
        <w:t>L’Assemblée nationale a ado</w:t>
      </w:r>
      <w:bookmarkStart w:id="0" w:name="_GoBack"/>
      <w:bookmarkEnd w:id="0"/>
      <w:r w:rsidR="009372DB">
        <w:rPr>
          <w:rFonts w:ascii="Times" w:hAnsi="Times"/>
          <w:lang w:val="fr-FR"/>
        </w:rPr>
        <w:t>pté ce jour le projet de loi relatif à l’ouverture du capital du Groupe TOGOCOM. Une adoption qui intervient après l’approbation dudit projet de loi le 03 octobre dernier par le Conseil des ministres.</w:t>
      </w:r>
    </w:p>
    <w:p w:rsidR="00A933E1" w:rsidRDefault="00A933E1" w:rsidP="00793902">
      <w:pPr>
        <w:jc w:val="both"/>
        <w:rPr>
          <w:rFonts w:ascii="Times" w:hAnsi="Times"/>
          <w:lang w:val="fr-FR"/>
        </w:rPr>
      </w:pPr>
    </w:p>
    <w:p w:rsidR="00793902" w:rsidRDefault="00055625" w:rsidP="00793902">
      <w:pPr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L’ouverture du capital du Groupe TOGOCOM obéit</w:t>
      </w:r>
      <w:r w:rsidR="00793902">
        <w:rPr>
          <w:rFonts w:ascii="Times" w:hAnsi="Times"/>
          <w:lang w:val="fr-FR"/>
        </w:rPr>
        <w:t xml:space="preserve"> </w:t>
      </w:r>
      <w:r w:rsidR="000C7EA3">
        <w:rPr>
          <w:rFonts w:ascii="Times" w:hAnsi="Times"/>
          <w:lang w:val="fr-FR"/>
        </w:rPr>
        <w:t>à</w:t>
      </w:r>
      <w:r w:rsidR="00793902">
        <w:rPr>
          <w:rFonts w:ascii="Times" w:hAnsi="Times"/>
          <w:lang w:val="fr-FR"/>
        </w:rPr>
        <w:t xml:space="preserve"> une co</w:t>
      </w:r>
      <w:r w:rsidR="00A933E1">
        <w:rPr>
          <w:rFonts w:ascii="Times" w:hAnsi="Times"/>
          <w:lang w:val="fr-FR"/>
        </w:rPr>
        <w:t>hérence stratégique</w:t>
      </w:r>
      <w:r>
        <w:rPr>
          <w:rFonts w:ascii="Times" w:hAnsi="Times"/>
          <w:lang w:val="fr-FR"/>
        </w:rPr>
        <w:t>. Elle</w:t>
      </w:r>
      <w:r w:rsidR="00A933E1">
        <w:rPr>
          <w:rFonts w:ascii="Times" w:hAnsi="Times"/>
          <w:lang w:val="fr-FR"/>
        </w:rPr>
        <w:t> </w:t>
      </w:r>
      <w:r>
        <w:rPr>
          <w:rFonts w:ascii="Times" w:hAnsi="Times"/>
          <w:lang w:val="fr-FR"/>
        </w:rPr>
        <w:t>fait</w:t>
      </w:r>
      <w:r w:rsidR="00793902">
        <w:rPr>
          <w:rFonts w:ascii="Times" w:hAnsi="Times"/>
          <w:lang w:val="fr-FR"/>
        </w:rPr>
        <w:t xml:space="preserve"> suite à </w:t>
      </w:r>
      <w:r w:rsidR="00D34F43">
        <w:rPr>
          <w:rFonts w:ascii="Times" w:hAnsi="Times"/>
          <w:lang w:val="fr-FR"/>
        </w:rPr>
        <w:t>l’initiative</w:t>
      </w:r>
      <w:r w:rsidR="00A933E1">
        <w:rPr>
          <w:rFonts w:ascii="Times" w:hAnsi="Times"/>
          <w:lang w:val="fr-FR"/>
        </w:rPr>
        <w:t xml:space="preserve"> du gouvernement</w:t>
      </w:r>
      <w:r w:rsidR="00793902">
        <w:rPr>
          <w:rFonts w:ascii="Times" w:hAnsi="Times"/>
          <w:lang w:val="fr-FR"/>
        </w:rPr>
        <w:t xml:space="preserve"> </w:t>
      </w:r>
      <w:r w:rsidR="0076069A">
        <w:rPr>
          <w:rFonts w:ascii="Times" w:hAnsi="Times"/>
          <w:lang w:val="fr-FR"/>
        </w:rPr>
        <w:t xml:space="preserve">de créer en 2017, TOGOCOM, une holding qui </w:t>
      </w:r>
      <w:r w:rsidR="009372DB">
        <w:rPr>
          <w:rFonts w:ascii="Times" w:hAnsi="Times"/>
          <w:lang w:val="fr-FR"/>
        </w:rPr>
        <w:t>rassemble Togo</w:t>
      </w:r>
      <w:r w:rsidR="00793902">
        <w:rPr>
          <w:rFonts w:ascii="Times" w:hAnsi="Times"/>
          <w:lang w:val="fr-FR"/>
        </w:rPr>
        <w:t xml:space="preserve"> Télécom et Togo Cellulaire, les deux opérateurs historiques de la téléphonie fixe et mobile. </w:t>
      </w:r>
      <w:r w:rsidR="000C7EA3">
        <w:rPr>
          <w:rFonts w:ascii="Times" w:hAnsi="Times"/>
          <w:lang w:val="fr-FR"/>
        </w:rPr>
        <w:t>L’</w:t>
      </w:r>
      <w:r w:rsidR="00793902">
        <w:rPr>
          <w:rFonts w:ascii="Times" w:hAnsi="Times"/>
          <w:lang w:val="fr-FR"/>
        </w:rPr>
        <w:t>ouverture du capital devrait permettre à TOGOCOM de se doter des moyens nécessaires à la ré</w:t>
      </w:r>
      <w:r w:rsidR="00A933E1">
        <w:rPr>
          <w:rFonts w:ascii="Times" w:hAnsi="Times"/>
          <w:lang w:val="fr-FR"/>
        </w:rPr>
        <w:t xml:space="preserve">alisation de ses ambitions. </w:t>
      </w:r>
      <w:r w:rsidR="0076069A">
        <w:rPr>
          <w:rFonts w:ascii="Times" w:hAnsi="Times"/>
          <w:lang w:val="fr-FR"/>
        </w:rPr>
        <w:t>Elle lui permet ainsi de consolider sa capacité</w:t>
      </w:r>
      <w:r w:rsidR="00E51D58">
        <w:rPr>
          <w:rFonts w:ascii="Times" w:hAnsi="Times"/>
          <w:lang w:val="fr-FR"/>
        </w:rPr>
        <w:t xml:space="preserve"> d’investissement et </w:t>
      </w:r>
      <w:r w:rsidR="0076069A">
        <w:rPr>
          <w:rFonts w:ascii="Times" w:hAnsi="Times"/>
          <w:lang w:val="fr-FR"/>
        </w:rPr>
        <w:t>de bénéficier</w:t>
      </w:r>
      <w:r w:rsidR="00793902">
        <w:rPr>
          <w:rFonts w:ascii="Times" w:hAnsi="Times"/>
          <w:lang w:val="fr-FR"/>
        </w:rPr>
        <w:t xml:space="preserve"> des dernières innovations en matière de TIC pour développer de nouveaux segments de croissance.</w:t>
      </w:r>
    </w:p>
    <w:p w:rsidR="00D840E1" w:rsidRDefault="00D840E1" w:rsidP="00793902">
      <w:pPr>
        <w:jc w:val="both"/>
        <w:rPr>
          <w:rFonts w:ascii="Times" w:hAnsi="Times"/>
          <w:lang w:val="fr-FR"/>
        </w:rPr>
      </w:pPr>
    </w:p>
    <w:p w:rsidR="009C60CD" w:rsidRDefault="0076069A" w:rsidP="00793902">
      <w:pPr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Les objectifs visés</w:t>
      </w:r>
      <w:r w:rsidR="00CE1997">
        <w:rPr>
          <w:rFonts w:ascii="Times" w:hAnsi="Times"/>
          <w:lang w:val="fr-FR"/>
        </w:rPr>
        <w:t xml:space="preserve"> de </w:t>
      </w:r>
      <w:r w:rsidR="009C60CD">
        <w:rPr>
          <w:rFonts w:ascii="Times" w:hAnsi="Times"/>
          <w:lang w:val="fr-FR"/>
        </w:rPr>
        <w:t xml:space="preserve">modernisation des infrastructures réseaux </w:t>
      </w:r>
      <w:r w:rsidR="00CE1997">
        <w:rPr>
          <w:rFonts w:ascii="Times" w:hAnsi="Times"/>
          <w:lang w:val="fr-FR"/>
        </w:rPr>
        <w:t>et de</w:t>
      </w:r>
      <w:r w:rsidR="009C60CD">
        <w:rPr>
          <w:rFonts w:ascii="Times" w:hAnsi="Times"/>
          <w:lang w:val="fr-FR"/>
        </w:rPr>
        <w:t xml:space="preserve"> </w:t>
      </w:r>
      <w:r w:rsidR="006356F0">
        <w:rPr>
          <w:rFonts w:ascii="Times" w:hAnsi="Times"/>
          <w:lang w:val="fr-FR"/>
        </w:rPr>
        <w:t>diversification des offres fixe et mobile</w:t>
      </w:r>
      <w:r w:rsidR="009C60CD">
        <w:rPr>
          <w:rFonts w:ascii="Times" w:hAnsi="Times"/>
          <w:lang w:val="fr-FR"/>
        </w:rPr>
        <w:t xml:space="preserve"> grâce à l’Internet très haut débit à travers la fibre optique,</w:t>
      </w:r>
      <w:r w:rsidR="006356F0">
        <w:rPr>
          <w:rFonts w:ascii="Times" w:hAnsi="Times"/>
          <w:lang w:val="fr-FR"/>
        </w:rPr>
        <w:t xml:space="preserve"> </w:t>
      </w:r>
      <w:r w:rsidR="009C60CD">
        <w:rPr>
          <w:rFonts w:ascii="Times" w:hAnsi="Times"/>
          <w:lang w:val="fr-FR"/>
        </w:rPr>
        <w:t xml:space="preserve">s’inscrivent dans </w:t>
      </w:r>
      <w:r w:rsidR="00CE1997">
        <w:rPr>
          <w:rFonts w:ascii="Times" w:hAnsi="Times"/>
          <w:lang w:val="fr-FR"/>
        </w:rPr>
        <w:t xml:space="preserve">le processus de </w:t>
      </w:r>
      <w:r w:rsidR="001F1843">
        <w:rPr>
          <w:rFonts w:ascii="Times" w:hAnsi="Times"/>
          <w:lang w:val="fr-FR"/>
        </w:rPr>
        <w:t xml:space="preserve">transformation </w:t>
      </w:r>
      <w:r w:rsidR="00CE1997">
        <w:rPr>
          <w:rFonts w:ascii="Times" w:hAnsi="Times"/>
          <w:lang w:val="fr-FR"/>
        </w:rPr>
        <w:t>du groupe initié depuis 2015.</w:t>
      </w:r>
    </w:p>
    <w:p w:rsidR="00A04C09" w:rsidRDefault="00A04C09" w:rsidP="00793902">
      <w:pPr>
        <w:jc w:val="both"/>
        <w:rPr>
          <w:rFonts w:ascii="Times" w:hAnsi="Times"/>
          <w:lang w:val="fr-FR"/>
        </w:rPr>
      </w:pPr>
    </w:p>
    <w:p w:rsidR="004515C9" w:rsidRDefault="00E51D58" w:rsidP="00793902">
      <w:pPr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Ces orientations stratégiques devraient permettre au Groupe</w:t>
      </w:r>
      <w:r w:rsidR="00A04C09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de satisfaire</w:t>
      </w:r>
      <w:r w:rsidR="00A94497">
        <w:rPr>
          <w:rFonts w:ascii="Times" w:hAnsi="Times"/>
          <w:lang w:val="fr-FR"/>
        </w:rPr>
        <w:t>, non seulement</w:t>
      </w:r>
      <w:r>
        <w:rPr>
          <w:rFonts w:ascii="Times" w:hAnsi="Times"/>
          <w:lang w:val="fr-FR"/>
        </w:rPr>
        <w:t xml:space="preserve"> la forte demande des consommateurs</w:t>
      </w:r>
      <w:r w:rsidR="000C7EA3">
        <w:rPr>
          <w:rFonts w:ascii="Times" w:hAnsi="Times"/>
          <w:lang w:val="fr-FR"/>
        </w:rPr>
        <w:t xml:space="preserve"> d’accessibilité </w:t>
      </w:r>
      <w:r>
        <w:rPr>
          <w:rFonts w:ascii="Times" w:hAnsi="Times"/>
          <w:lang w:val="fr-FR"/>
        </w:rPr>
        <w:t>à des services</w:t>
      </w:r>
      <w:r w:rsidR="00A933E1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d’excellence qualité et à bas prix</w:t>
      </w:r>
      <w:r w:rsidR="000C7EA3">
        <w:rPr>
          <w:rFonts w:ascii="Times" w:hAnsi="Times"/>
          <w:lang w:val="fr-FR"/>
        </w:rPr>
        <w:t xml:space="preserve"> sur toute l’étendue du territoire</w:t>
      </w:r>
      <w:r w:rsidR="00A94497">
        <w:rPr>
          <w:rFonts w:ascii="Times" w:hAnsi="Times"/>
          <w:lang w:val="fr-FR"/>
        </w:rPr>
        <w:t xml:space="preserve">, mais </w:t>
      </w:r>
      <w:r w:rsidR="00A933E1">
        <w:rPr>
          <w:rFonts w:ascii="Times" w:hAnsi="Times"/>
          <w:lang w:val="fr-FR"/>
        </w:rPr>
        <w:t xml:space="preserve">aussi </w:t>
      </w:r>
      <w:r w:rsidR="00A94497">
        <w:rPr>
          <w:rFonts w:ascii="Times" w:hAnsi="Times"/>
          <w:lang w:val="fr-FR"/>
        </w:rPr>
        <w:t>de</w:t>
      </w:r>
      <w:r>
        <w:rPr>
          <w:rFonts w:ascii="Times" w:hAnsi="Times"/>
          <w:lang w:val="fr-FR"/>
        </w:rPr>
        <w:t xml:space="preserve"> </w:t>
      </w:r>
      <w:r w:rsidR="00A94497">
        <w:rPr>
          <w:rFonts w:ascii="Times" w:hAnsi="Times"/>
          <w:lang w:val="fr-FR"/>
        </w:rPr>
        <w:t>financer s</w:t>
      </w:r>
      <w:r w:rsidR="00A04C09">
        <w:rPr>
          <w:rFonts w:ascii="Times" w:hAnsi="Times"/>
          <w:lang w:val="fr-FR"/>
        </w:rPr>
        <w:t xml:space="preserve">es projets </w:t>
      </w:r>
      <w:r w:rsidR="00A94497">
        <w:rPr>
          <w:rFonts w:ascii="Times" w:hAnsi="Times"/>
          <w:lang w:val="fr-FR"/>
        </w:rPr>
        <w:t xml:space="preserve">en adoptant une approche innovante pour leur mise en œuvre. </w:t>
      </w:r>
      <w:r w:rsidR="00A04C09">
        <w:rPr>
          <w:rFonts w:ascii="Times" w:hAnsi="Times"/>
          <w:lang w:val="fr-FR"/>
        </w:rPr>
        <w:t xml:space="preserve"> </w:t>
      </w:r>
    </w:p>
    <w:p w:rsidR="00A94497" w:rsidRDefault="00A94497" w:rsidP="00793902">
      <w:pPr>
        <w:jc w:val="both"/>
        <w:rPr>
          <w:rFonts w:ascii="Times" w:hAnsi="Times"/>
          <w:lang w:val="fr-FR"/>
        </w:rPr>
      </w:pPr>
    </w:p>
    <w:p w:rsidR="004515C9" w:rsidRDefault="00A12724" w:rsidP="00793902">
      <w:pPr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En définitive</w:t>
      </w:r>
      <w:r w:rsidR="00A94497">
        <w:rPr>
          <w:rFonts w:ascii="Times" w:hAnsi="Times"/>
          <w:lang w:val="fr-FR"/>
        </w:rPr>
        <w:t>, l’</w:t>
      </w:r>
      <w:r w:rsidR="004515C9">
        <w:rPr>
          <w:rFonts w:ascii="Times" w:hAnsi="Times"/>
          <w:lang w:val="fr-FR"/>
        </w:rPr>
        <w:t xml:space="preserve">ouverture du capital est </w:t>
      </w:r>
      <w:r w:rsidR="00D34F43">
        <w:rPr>
          <w:rFonts w:ascii="Times" w:hAnsi="Times"/>
          <w:lang w:val="fr-FR"/>
        </w:rPr>
        <w:t>primordiale</w:t>
      </w:r>
      <w:r w:rsidR="004515C9">
        <w:rPr>
          <w:rFonts w:ascii="Times" w:hAnsi="Times"/>
          <w:lang w:val="fr-FR"/>
        </w:rPr>
        <w:t xml:space="preserve"> au regard de la </w:t>
      </w:r>
      <w:r w:rsidR="00A933E1">
        <w:rPr>
          <w:rFonts w:ascii="Times" w:hAnsi="Times"/>
          <w:lang w:val="fr-FR"/>
        </w:rPr>
        <w:t xml:space="preserve">nouvelle </w:t>
      </w:r>
      <w:r w:rsidR="004515C9">
        <w:rPr>
          <w:rFonts w:ascii="Times" w:hAnsi="Times"/>
          <w:lang w:val="fr-FR"/>
        </w:rPr>
        <w:t xml:space="preserve">dynamique dans laquelle entend s’insérer </w:t>
      </w:r>
      <w:r w:rsidR="00D34F43">
        <w:rPr>
          <w:rFonts w:ascii="Times" w:hAnsi="Times"/>
          <w:lang w:val="fr-FR"/>
        </w:rPr>
        <w:t xml:space="preserve">TOGOCOM </w:t>
      </w:r>
      <w:r w:rsidR="004515C9">
        <w:rPr>
          <w:rFonts w:ascii="Times" w:hAnsi="Times"/>
          <w:lang w:val="fr-FR"/>
        </w:rPr>
        <w:t xml:space="preserve">pour assumer pleinement ses missions de stimulateur de la croissance. Au surplus, cette opération accélèrera le développement </w:t>
      </w:r>
      <w:r w:rsidR="009C60CD">
        <w:rPr>
          <w:rFonts w:ascii="Times" w:hAnsi="Times"/>
          <w:lang w:val="fr-FR"/>
        </w:rPr>
        <w:t>et les investissements dans le</w:t>
      </w:r>
      <w:r w:rsidR="004515C9">
        <w:rPr>
          <w:rFonts w:ascii="Times" w:hAnsi="Times"/>
          <w:lang w:val="fr-FR"/>
        </w:rPr>
        <w:t xml:space="preserve"> secteur des télécommunications</w:t>
      </w:r>
      <w:r w:rsidR="009C60CD">
        <w:rPr>
          <w:rFonts w:ascii="Times" w:hAnsi="Times"/>
          <w:lang w:val="fr-FR"/>
        </w:rPr>
        <w:t xml:space="preserve">, </w:t>
      </w:r>
      <w:r w:rsidR="004515C9">
        <w:rPr>
          <w:rFonts w:ascii="Times" w:hAnsi="Times"/>
          <w:lang w:val="fr-FR"/>
        </w:rPr>
        <w:t xml:space="preserve">offrant ainsi une meilleure qualité de service et des prix très compétitifs, au bénéfice des populations et des entreprises, tout en soutenant la stratégie de développement du pays. </w:t>
      </w:r>
    </w:p>
    <w:p w:rsidR="006D198E" w:rsidRDefault="006D198E" w:rsidP="00793902">
      <w:pPr>
        <w:jc w:val="both"/>
        <w:rPr>
          <w:rFonts w:ascii="Times" w:hAnsi="Times"/>
          <w:lang w:val="fr-FR"/>
        </w:rPr>
      </w:pPr>
    </w:p>
    <w:p w:rsidR="006D198E" w:rsidRDefault="006D198E" w:rsidP="00793902">
      <w:pPr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Au demeurant, cette opération </w:t>
      </w:r>
      <w:r w:rsidR="0046182F">
        <w:rPr>
          <w:rFonts w:ascii="Times" w:hAnsi="Times"/>
          <w:lang w:val="fr-FR"/>
        </w:rPr>
        <w:t>sera</w:t>
      </w:r>
      <w:r>
        <w:rPr>
          <w:rFonts w:ascii="Times" w:hAnsi="Times"/>
          <w:lang w:val="fr-FR"/>
        </w:rPr>
        <w:t xml:space="preserve"> réalisée dans le cadre d’un appel d’offres international ouvert, neutre, transparent et non discriminatoire, en une ou plusieurs tranches.</w:t>
      </w:r>
    </w:p>
    <w:p w:rsidR="00F258A0" w:rsidRPr="00F258A0" w:rsidRDefault="00F258A0" w:rsidP="00A94497">
      <w:pPr>
        <w:rPr>
          <w:rFonts w:ascii="Cambria" w:eastAsia="Calibri" w:hAnsi="Cambria"/>
          <w:b/>
          <w:sz w:val="28"/>
          <w:szCs w:val="28"/>
          <w:lang w:val="fr-FR"/>
        </w:rPr>
      </w:pPr>
    </w:p>
    <w:p w:rsidR="003C5F1E" w:rsidRDefault="00F25CCF" w:rsidP="00A94497">
      <w:pPr>
        <w:pStyle w:val="CorpsA"/>
        <w:suppressAutoHyphens/>
        <w:spacing w:after="120"/>
        <w:jc w:val="both"/>
        <w:rPr>
          <w:rStyle w:val="Lienhypertexte"/>
          <w:rFonts w:ascii="Times" w:hAnsi="Times"/>
        </w:rPr>
      </w:pPr>
      <w:r w:rsidRPr="003C5F1E">
        <w:rPr>
          <w:rFonts w:ascii="Times" w:hAnsi="Times"/>
          <w:b/>
          <w:bCs/>
        </w:rPr>
        <w:t>Contact presse</w:t>
      </w:r>
      <w:r w:rsidRPr="003C5F1E">
        <w:rPr>
          <w:rFonts w:ascii="Times" w:hAnsi="Times"/>
        </w:rPr>
        <w:t xml:space="preserve"> : </w:t>
      </w:r>
      <w:hyperlink r:id="rId9" w:history="1">
        <w:r w:rsidR="00EA1E26" w:rsidRPr="003C5F1E">
          <w:rPr>
            <w:rStyle w:val="Lienhypertexte"/>
            <w:rFonts w:ascii="Times" w:hAnsi="Times"/>
          </w:rPr>
          <w:t>presse@numerique.gouv.tg</w:t>
        </w:r>
      </w:hyperlink>
    </w:p>
    <w:p w:rsidR="009C60CD" w:rsidRPr="00A94497" w:rsidRDefault="009C60CD" w:rsidP="00A94497">
      <w:pPr>
        <w:pStyle w:val="CorpsA"/>
        <w:suppressAutoHyphens/>
        <w:spacing w:after="120"/>
        <w:jc w:val="both"/>
        <w:rPr>
          <w:rFonts w:ascii="Times" w:hAnsi="Times"/>
        </w:rPr>
      </w:pPr>
    </w:p>
    <w:p w:rsidR="00BB7C12" w:rsidRPr="009C60CD" w:rsidRDefault="00BB7C12" w:rsidP="00BB7C12">
      <w:pPr>
        <w:pStyle w:val="Corps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60CD">
        <w:rPr>
          <w:rFonts w:ascii="Times New Roman" w:eastAsia="Arial Unicode MS" w:hAnsi="Times New Roman" w:cs="Times New Roman"/>
          <w:b/>
          <w:bCs/>
          <w:sz w:val="22"/>
          <w:szCs w:val="22"/>
        </w:rPr>
        <w:t>Le Ministère des Postes et de l’Economie Numérique</w:t>
      </w:r>
      <w:r w:rsidRPr="009C60CD">
        <w:rPr>
          <w:rFonts w:ascii="Times New Roman" w:eastAsia="Arial Unicode MS" w:hAnsi="Times New Roman" w:cs="Times New Roman"/>
          <w:sz w:val="22"/>
          <w:szCs w:val="22"/>
        </w:rPr>
        <w:t xml:space="preserve"> définit et coordonne la mise en œuvre de la politique de l’Etat dans les domaines des postes et de l’économie numérique. A ce titre, il traite des questions relatives au développement et à la promotion des activités postales et œuvre à la promotion et à la diffusion des technologies de l’information et de la communication (TIC) en vue de l’émergence du secteur de l’économie numérique. Depuis 201</w:t>
      </w:r>
      <w:r w:rsidR="00CE1997">
        <w:rPr>
          <w:rFonts w:ascii="Times New Roman" w:eastAsia="Arial Unicode MS" w:hAnsi="Times New Roman" w:cs="Times New Roman"/>
          <w:sz w:val="22"/>
          <w:szCs w:val="22"/>
        </w:rPr>
        <w:t>2</w:t>
      </w:r>
      <w:r w:rsidRPr="009C60CD">
        <w:rPr>
          <w:rFonts w:ascii="Times New Roman" w:eastAsia="Arial Unicode MS" w:hAnsi="Times New Roman" w:cs="Times New Roman"/>
          <w:sz w:val="22"/>
          <w:szCs w:val="22"/>
        </w:rPr>
        <w:t xml:space="preserve">, </w:t>
      </w:r>
      <w:proofErr w:type="spellStart"/>
      <w:r w:rsidRPr="009C60CD">
        <w:rPr>
          <w:rFonts w:ascii="Times New Roman" w:eastAsia="Arial Unicode MS" w:hAnsi="Times New Roman" w:cs="Times New Roman"/>
          <w:sz w:val="22"/>
          <w:szCs w:val="22"/>
        </w:rPr>
        <w:t>Cina</w:t>
      </w:r>
      <w:proofErr w:type="spellEnd"/>
      <w:r w:rsidRPr="009C60CD">
        <w:rPr>
          <w:rFonts w:ascii="Times New Roman" w:eastAsia="Arial Unicode MS" w:hAnsi="Times New Roman" w:cs="Times New Roman"/>
          <w:sz w:val="22"/>
          <w:szCs w:val="22"/>
        </w:rPr>
        <w:t xml:space="preserve"> LAWSON occupe les fonctions de Ministre des Postes et de l’Economie Numérique. </w:t>
      </w:r>
    </w:p>
    <w:p w:rsidR="00F049E4" w:rsidRPr="00A94497" w:rsidRDefault="00F049E4" w:rsidP="00BB7C12">
      <w:pPr>
        <w:pStyle w:val="CorpsA"/>
        <w:suppressAutoHyphens/>
        <w:jc w:val="both"/>
        <w:rPr>
          <w:rFonts w:ascii="Times" w:hAnsi="Times"/>
          <w:sz w:val="20"/>
          <w:szCs w:val="20"/>
        </w:rPr>
      </w:pPr>
    </w:p>
    <w:sectPr w:rsidR="00F049E4" w:rsidRPr="00A94497">
      <w:headerReference w:type="default" r:id="rId10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8AB" w:rsidRDefault="00BF58AB">
      <w:r>
        <w:separator/>
      </w:r>
    </w:p>
  </w:endnote>
  <w:endnote w:type="continuationSeparator" w:id="0">
    <w:p w:rsidR="00BF58AB" w:rsidRDefault="00BF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8AB" w:rsidRDefault="00BF58AB">
      <w:r>
        <w:separator/>
      </w:r>
    </w:p>
  </w:footnote>
  <w:footnote w:type="continuationSeparator" w:id="0">
    <w:p w:rsidR="00BF58AB" w:rsidRDefault="00BF5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74B" w:rsidRDefault="00E9574B">
    <w:pPr>
      <w:pStyle w:val="En-tte"/>
    </w:pPr>
  </w:p>
  <w:p w:rsidR="00D06368" w:rsidRDefault="00D06368">
    <w:pPr>
      <w:pStyle w:val="En-tte"/>
      <w:tabs>
        <w:tab w:val="clear" w:pos="4536"/>
        <w:tab w:val="clear" w:pos="9072"/>
        <w:tab w:val="left" w:pos="731"/>
        <w:tab w:val="center" w:pos="4533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17532"/>
    <w:multiLevelType w:val="hybridMultilevel"/>
    <w:tmpl w:val="10340876"/>
    <w:lvl w:ilvl="0" w:tplc="1BD2A024">
      <w:numFmt w:val="bullet"/>
      <w:lvlText w:val="-"/>
      <w:lvlJc w:val="left"/>
      <w:pPr>
        <w:ind w:left="720" w:hanging="360"/>
      </w:pPr>
      <w:rPr>
        <w:rFonts w:ascii="Times" w:eastAsia="Cambria" w:hAnsi="Times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D0FFF"/>
    <w:multiLevelType w:val="hybridMultilevel"/>
    <w:tmpl w:val="976CB0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F6C80"/>
    <w:multiLevelType w:val="hybridMultilevel"/>
    <w:tmpl w:val="D1A075DA"/>
    <w:lvl w:ilvl="0" w:tplc="351CF57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68"/>
    <w:rsid w:val="000071A4"/>
    <w:rsid w:val="00046626"/>
    <w:rsid w:val="00055625"/>
    <w:rsid w:val="000C7EA3"/>
    <w:rsid w:val="00111B53"/>
    <w:rsid w:val="001129C9"/>
    <w:rsid w:val="00113C38"/>
    <w:rsid w:val="00147556"/>
    <w:rsid w:val="00160199"/>
    <w:rsid w:val="0017161D"/>
    <w:rsid w:val="001E34DF"/>
    <w:rsid w:val="001F1843"/>
    <w:rsid w:val="002521D7"/>
    <w:rsid w:val="00275F77"/>
    <w:rsid w:val="002952DE"/>
    <w:rsid w:val="002B0C8E"/>
    <w:rsid w:val="002D20C0"/>
    <w:rsid w:val="002E53E0"/>
    <w:rsid w:val="0030074E"/>
    <w:rsid w:val="00342A4E"/>
    <w:rsid w:val="003431EB"/>
    <w:rsid w:val="00361F73"/>
    <w:rsid w:val="003C5F1E"/>
    <w:rsid w:val="0040110C"/>
    <w:rsid w:val="00435F16"/>
    <w:rsid w:val="004368C5"/>
    <w:rsid w:val="004515C9"/>
    <w:rsid w:val="00453FD5"/>
    <w:rsid w:val="0046182F"/>
    <w:rsid w:val="00483AA0"/>
    <w:rsid w:val="004A0F69"/>
    <w:rsid w:val="004A33BB"/>
    <w:rsid w:val="004B2418"/>
    <w:rsid w:val="004B33AB"/>
    <w:rsid w:val="004C2EB7"/>
    <w:rsid w:val="004E5217"/>
    <w:rsid w:val="005336BC"/>
    <w:rsid w:val="0054292C"/>
    <w:rsid w:val="00592202"/>
    <w:rsid w:val="005B0C75"/>
    <w:rsid w:val="006356F0"/>
    <w:rsid w:val="006429A7"/>
    <w:rsid w:val="00657796"/>
    <w:rsid w:val="006D198E"/>
    <w:rsid w:val="0076069A"/>
    <w:rsid w:val="00772435"/>
    <w:rsid w:val="00793902"/>
    <w:rsid w:val="0079770C"/>
    <w:rsid w:val="007A1043"/>
    <w:rsid w:val="0080153A"/>
    <w:rsid w:val="008117E9"/>
    <w:rsid w:val="008760C6"/>
    <w:rsid w:val="008C4C3B"/>
    <w:rsid w:val="00923A73"/>
    <w:rsid w:val="00931F1B"/>
    <w:rsid w:val="009372DB"/>
    <w:rsid w:val="009412B3"/>
    <w:rsid w:val="009508E2"/>
    <w:rsid w:val="00951FB9"/>
    <w:rsid w:val="00954AD6"/>
    <w:rsid w:val="009935E1"/>
    <w:rsid w:val="009A5C53"/>
    <w:rsid w:val="009C60CD"/>
    <w:rsid w:val="00A04C09"/>
    <w:rsid w:val="00A12724"/>
    <w:rsid w:val="00A7504A"/>
    <w:rsid w:val="00A933E1"/>
    <w:rsid w:val="00A94497"/>
    <w:rsid w:val="00AD5938"/>
    <w:rsid w:val="00AE597D"/>
    <w:rsid w:val="00AF2BA4"/>
    <w:rsid w:val="00B00855"/>
    <w:rsid w:val="00B270F3"/>
    <w:rsid w:val="00B563BB"/>
    <w:rsid w:val="00B710E4"/>
    <w:rsid w:val="00B908A4"/>
    <w:rsid w:val="00BA7F07"/>
    <w:rsid w:val="00BB7C12"/>
    <w:rsid w:val="00BF58AB"/>
    <w:rsid w:val="00C27923"/>
    <w:rsid w:val="00C6272D"/>
    <w:rsid w:val="00CA6661"/>
    <w:rsid w:val="00CE1997"/>
    <w:rsid w:val="00D04E5A"/>
    <w:rsid w:val="00D06368"/>
    <w:rsid w:val="00D34F43"/>
    <w:rsid w:val="00D71460"/>
    <w:rsid w:val="00D840E1"/>
    <w:rsid w:val="00DB44FC"/>
    <w:rsid w:val="00DC788B"/>
    <w:rsid w:val="00DE046B"/>
    <w:rsid w:val="00E51D58"/>
    <w:rsid w:val="00E8599C"/>
    <w:rsid w:val="00E9574B"/>
    <w:rsid w:val="00EA1E26"/>
    <w:rsid w:val="00F049E4"/>
    <w:rsid w:val="00F258A0"/>
    <w:rsid w:val="00F25CCF"/>
    <w:rsid w:val="00F35D20"/>
    <w:rsid w:val="00F53242"/>
    <w:rsid w:val="00F80C8C"/>
    <w:rsid w:val="00F83BEE"/>
    <w:rsid w:val="00FA56B8"/>
    <w:rsid w:val="00FC4C69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48B2"/>
  <w15:docId w15:val="{AEC87323-6CE8-9D4D-BF31-BFDB2950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styleId="En-tte">
    <w:name w:val="header"/>
    <w:link w:val="En-tteCar"/>
    <w:uiPriority w:val="99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En-tte1">
    <w:name w:val="En-tête1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sA">
    <w:name w:val="Corps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5429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292C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3C5F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F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FB9"/>
    <w:rPr>
      <w:rFonts w:ascii="Segoe UI" w:hAnsi="Segoe UI" w:cs="Segoe UI"/>
      <w:sz w:val="18"/>
      <w:szCs w:val="18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113C38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numerique.gouv.t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453F17-896B-DC46-989A-095362A2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BRES</dc:creator>
  <cp:lastModifiedBy>Microsoft Office User</cp:lastModifiedBy>
  <cp:revision>3</cp:revision>
  <cp:lastPrinted>2018-10-03T17:23:00Z</cp:lastPrinted>
  <dcterms:created xsi:type="dcterms:W3CDTF">2018-11-15T18:40:00Z</dcterms:created>
  <dcterms:modified xsi:type="dcterms:W3CDTF">2018-11-15T18:40:00Z</dcterms:modified>
</cp:coreProperties>
</file>